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TLS, and ports that are not universal · Learn it in 5 minutes</w:t>
      </w:r>
    </w:p>
    <w:p>
      <w:r>
        <w:t>Unencrypted APIs are not the story. TLS 1.2 is required. TLS 1.1 is not supported. The requirements also list TLS 1.3 inbound ciphers: AES-128-GCM, AES-256-GCM, and CHACHA20.</w:t>
      </w:r>
    </w:p>
    <w:p>
      <w:r>
        <w:t>Studio portal hosts and Studio SIP ports live in the Studio section of that PDF: UDP 5060, TCP 5061 described as beta, proxy UDP 5189 and TCP 5161, a legacy UDP 5188, plus RTP ranges. Do not paste those Studio numbers onto every VCC ITSP trunk. If the trunk guide does not say them, they are not the trunk.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9293, Transmission Control Protocol. rfc. https://www.rfc-editor.org/rfc/rfc9293. last checked 2026-10.</w:t>
      </w:r>
    </w:p>
    <w:p>
      <w:r>
        <w:t>RFC 768, User Datagram Protocol. rfc. https://www.rfc-editor.org/rfc/rfc768. last checked 2026-10.</w:t>
      </w:r>
    </w:p>
    <w:p>
      <w:r>
        <w:t>confirm. Studio TCP 5061 is described as beta in the PDF read for this lab. Confirm before you depend on it. last checked 2026-10.</w:t>
      </w:r>
    </w:p>
  </w:body>
</w:document>
</file>