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Call variables are not history · Quiz</w:t>
      </w:r>
    </w:p>
    <w:p>
      <w:r>
        <w:t>Enabling a call variable today fills history. True or false?</w:t>
      </w:r>
    </w:p>
    <w:p>
      <w:r>
        <w:t>The edit permission is named</w:t>
      </w:r>
    </w:p>
    <w:p>
      <w:r>
        <w:t>Apply to All Dispositions covers custom dispositions. True or false?</w:t>
      </w:r>
    </w:p>
    <w:p>
      <w:r>
        <w:t>A blank column on last month's calls after today's change means</w:t>
      </w:r>
    </w:p>
    <w:p>
      <w:r>
        <w:t>You enable reporting on the variable in addition to</w:t>
      </w:r>
    </w:p>
    <w:p>
      <w:r>
        <w:t>Sources and go deeper</w:t>
      </w:r>
    </w:p>
    <w:p>
      <w:r>
        <w:t>Call variables for reporting. community. https://community.five9.com/s/article/Administrator-Enabling-Call-Variables-for-Reporting?language=en_US. last checked 2026-10.</w:t>
      </w:r>
    </w:p>
    <w:p>
      <w:r>
        <w:t>Generating standard reports. community. https://community.five9.com/s/article/Reporting-I-Generating-Standard-Reports. last checked 2026-10.</w:t>
      </w:r>
    </w:p>
  </w:body>
</w:document>
</file>