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There is no import button · Worked example</w:t>
      </w:r>
    </w:p>
    <w:p>
      <w:r>
        <w:t>Write one sentence that refuses an importer and names the planning order.</w:t>
      </w:r>
    </w:p>
    <w:p>
      <w:r>
        <w:t>No wizard</w:t>
      </w:r>
    </w:p>
    <w:p>
      <w:r>
        <w:t>Six layers</w:t>
      </w:r>
    </w:p>
    <w:p>
      <w:r>
        <w:t>Gateway versus script</w:t>
      </w:r>
    </w:p>
    <w:p>
      <w:r>
        <w:t>The sentence would survive a documentation review.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3261, SIP: Session Initiation Protocol. rfc. https://www.rfc-editor.org/rfc/rfc3261. last checked 2026-10.</w:t>
      </w:r>
    </w:p>
    <w:p>
      <w:r>
        <w:t>confirm. Five9 publishes Cisco as a SIP gateway type. This lab did not find an official UCCX or UCCE migration wizard. Mappings below are instructional. last checked 2026-10.</w:t>
      </w:r>
    </w:p>
  </w:body>
</w:document>
</file>