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CSQs, skills, and the partition you will not find · Worked example</w:t>
      </w:r>
    </w:p>
    <w:p>
      <w:r>
        <w:t>Write three CSQ names and the skill groups you would create. Mark one attribute-based queue as a redesign.</w:t>
      </w:r>
    </w:p>
    <w:p>
      <w:r>
        <w:t>Three skills</w:t>
      </w:r>
    </w:p>
    <w:p>
      <w:r>
        <w:t>One redesign</w:t>
      </w:r>
    </w:p>
    <w:p>
      <w:r>
        <w:t>The domain boundary</w:t>
      </w:r>
    </w:p>
    <w:p>
      <w:r>
        <w:t>You did not draw a partition.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confirm. The CSQ-to-skill mapping is a teaching bridge, not a Five9 migration utility. last checked 2026-10.</w:t>
      </w:r>
    </w:p>
  </w:body>
</w:document>
</file>