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CSQs, skills, and the partition you will not find · Learn it in 5 minutes</w:t>
      </w:r>
    </w:p>
    <w:p>
      <w:r>
        <w:t>In this teaching map, a UCCX contact service queue is closest to a Five9 skill group: the people who can take that work. A UCCE skill group is a similar idea with a different name. Precision queues and attributes do not have a one-field equivalent you should invent.</w:t>
      </w:r>
    </w:p>
    <w:p>
      <w:r>
        <w:t>Five9 does not use CUCM partitions or calling search spaces. The boundary is the domain. If two businesses must not share lists, they are two domains, not two partitions.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confirm. The CSQ-to-skill mapping is a teaching bridge, not a Five9 migration utility. last checked 2026-10.</w:t>
      </w:r>
    </w:p>
  </w:body>
</w:document>
</file>