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t>Scripts are rebuilt in modules · Sources and go deeper</w:t>
      </w:r>
    </w:p>
    <w:p>
      <w:r>
        <w:t>Sources and go deeper</w:t>
      </w:r>
    </w:p>
    <w:p>
      <w:r>
        <w:t>IVR modules. vendor. https://documentation.five9.com/bundle/ivr-admin/page/ivr-admin/modules/_ch-modules.htm. last checked 2026-10.</w:t>
      </w:r>
    </w:p>
    <w:p>
      <w:r>
        <w:t>Inbound campaigns. vendor. https://documentation.five9.com/bundle/campaign-admin/page/campaign-admin/creating-campaigns/types-of-campaigns/inbound-campaigns.htm. last checked 2026-10.</w:t>
      </w:r>
    </w:p>
    <w:p>
      <w:r>
        <w:t>Interactive voice response. wikipedia. https://en.wikipedia.org/wiki/Interactive_voice_response. last checked 2026-10.</w:t>
      </w:r>
    </w:p>
    <w:p>
      <w:r>
        <w:t>confirm. Module mapping from UCCX steps is instructional. Validate every script in a domain. last checked 2026-10.</w:t>
      </w:r>
    </w:p>
  </w:body>
</w:document>
</file>