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Numbers, lists, and ANI are a data project · Learn it in 5 minutes</w:t>
      </w:r>
    </w:p>
    <w:p>
      <w:r>
        <w:t>DNIS values, calling lists, dispositions, and do-not-call entries are domain data. They are not inside the Cisco script file. A cutover that moves only the IVR still has nothing to dial and nowhere legal to send a call.</w:t>
      </w:r>
    </w:p>
    <w:p>
      <w:r>
        <w:t>Campaign profiles hold the ANI override. Local ANI is not the Certified Caller program. If the old system presented a specific caller ID, create the profile and assign it in Advanced mode, then ask separately whether attestation is in scope.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Data retention. vendor. https://www.five9.com/legal/dataretention. last checked 2026-10.</w:t>
      </w:r>
    </w:p>
    <w:p>
      <w:r>
        <w:t>RFC 8224, Authenticated Identity Management in SIP. rfc. https://www.rfc-editor.org/rfc/rfc8224.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