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gateway cut, without pretending to be the CUBE guide · Quiz</w:t>
      </w:r>
    </w:p>
    <w:p>
      <w:r>
        <w:t>A failed INVITE is always a Five9 defect. True or false?</w:t>
      </w:r>
    </w:p>
    <w:p>
      <w:r>
        <w:t>Internal extensions should be assumed to be Five9 DNIS values. True or false?</w:t>
      </w:r>
    </w:p>
    <w:p>
      <w:r>
        <w:t>20 ms ptime is</w:t>
      </w:r>
    </w:p>
    <w:p>
      <w:r>
        <w:t>DNS guidance on the Five9 side is</w:t>
      </w:r>
    </w:p>
    <w:p>
      <w:r>
        <w:t>RFC 3261 replaces your dial plan. True or false?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SIP trunk options chapter. vendor. https://documentation.five9.com/bundle/technical-reqs/page/technical-reqs/SIP-trunk-options/_ch-five9-sip-trunk-options.htm.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8446, TLS 1.3. rfc. https://www.rfc-editor.org/rfc/rfc8446. last checked 2026-10.</w:t>
      </w:r>
    </w:p>
    <w:p>
      <w:r>
        <w:t>RFC 1035, domain names. rfc. https://www.rfc-editor.org/rfc/rfc1035. last checked 2026-10.</w:t>
      </w:r>
    </w:p>
    <w:p>
      <w:r>
        <w:t>RFC 2782, DNS SRV. rfc. https://www.rfc-editor.org/rfc/rfc2782.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RFC 1918, private internet addresses. rfc. https://www.rfc-editor.org/rfc/rfc1918. last checked 2026-10.</w:t>
      </w:r>
    </w:p>
    <w:p>
      <w:r>
        <w:t>RFC 4787, NAT behavior for UDP. rfc. https://www.rfc-editor.org/rfc/rfc4787. last checked 2026-10.</w:t>
      </w:r>
    </w:p>
    <w:p>
      <w:r>
        <w:t>confirm. NANP versus E.164, 20 ms ptime, and 'no internal extensions' are practitioner cautions. They are not quoted here as Five9 requirements. last checked 2026-10.</w:t>
      </w:r>
    </w:p>
  </w:body>
</w:document>
</file>