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Attestation is not an ANI field · Worked example</w:t>
      </w:r>
    </w:p>
    <w:p>
      <w:r>
        <w:t>One box for ANI, one box for attestation, one box for what you have not bought.</w:t>
      </w:r>
    </w:p>
    <w:p>
      <w:r>
        <w:t>Profile</w:t>
      </w:r>
    </w:p>
    <w:p>
      <w:r>
        <w:t>Certified Caller</w:t>
      </w:r>
    </w:p>
    <w:p>
      <w:r>
        <w:t>The gap</w:t>
      </w:r>
    </w:p>
    <w:p>
      <w:r>
        <w:t>The gap box is allowed to say 'not in scope'.</w:t>
      </w:r>
    </w:p>
    <w:p>
      <w:r>
        <w:t>Sources and go deeper</w:t>
      </w:r>
    </w:p>
    <w:p>
      <w:r>
        <w:t>Certified Caller. vendor. https://www.five9.com/resources/five9_certified_caller.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