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Attestation is not an ANI field · Learn it in 5 minutes</w:t>
      </w:r>
    </w:p>
    <w:p>
      <w:r>
        <w:t>Certified Caller is Five9's published STIR/SHAKEN program, tied to FCC and CRTC expectations. A campaign profile that overrides ANI changes what you present. It does not, by itself, mean the call is attested.</w:t>
      </w:r>
    </w:p>
    <w:p>
      <w:r>
        <w:t>Say 'we set local ANI' or 'we are in Certified Caller.' If you cannot point at the Certified Caller page for the second sentence, do not say it.</w:t>
      </w:r>
    </w:p>
    <w:p>
      <w:r>
        <w:t>Sources and go deeper</w:t>
      </w:r>
    </w:p>
    <w:p>
      <w:r>
        <w:t>Certified Caller. vendor. https://www.five9.com/resources/five9_certified_caller.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RFC 8224, Authenticated Identity Management in SIP. rfc. https://www.rfc-editor.org/rfc/rfc8224.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