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Abandon rate is a regulated posture · Worked example</w:t>
      </w:r>
    </w:p>
    <w:p>
      <w:r>
        <w:t>Say what you will not change, and which country's window applies to a fictional US campaign.</w:t>
      </w:r>
    </w:p>
    <w:p>
      <w:r>
        <w:t>The warning</w:t>
      </w:r>
    </w:p>
    <w:p>
      <w:r>
        <w:t>30 days</w:t>
      </w:r>
    </w:p>
    <w:p>
      <w:r>
        <w:t>No invented percent</w:t>
      </w:r>
    </w:p>
    <w:p>
      <w:r>
        <w:t>Manual touch is not used as a synonym.</w:t>
      </w:r>
    </w:p>
    <w:p>
      <w:r>
        <w:t>Sources and go deeper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Telephone Consumer Protection Act of 1991. wikipedia. https://en.wikipedia.org/wiki/Telephone_Consumer_Protection_Act_of_1991. last checked 2026-10.</w:t>
      </w:r>
    </w:p>
    <w:p>
      <w:r>
        <w:t>confirm. This lab does not publish a numeric default for Max Abandoned Call Percentage. The defaults page describes the windows and the warning, not a percent we are willing to repeat. last checked 2026-10.</w:t>
      </w:r>
    </w:p>
  </w:body>
</w:document>
</file>