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Abandon rate is a regulated posture · Learn it in 5 minutes</w:t>
      </w:r>
    </w:p>
    <w:p>
      <w:r>
        <w:t>Default campaign settings call out a warning if you change Max Abandoned Call Percentage. Other fields on that page include Max Queue Time, Show Out of Numbers Alert, Monitor Abandoned Call Percentage, Call Analysis, Voice Detection level, and Action on Max Queue Time Expiration.</w:t>
      </w:r>
    </w:p>
    <w:p>
      <w:r>
        <w:t>The measurement window is not a number you type for fun. The page describes a US rolling 30 days and a UK window of 24 hours, set with a Five9 representative. This lab does not invent the numeric default inside Max Abandoned Call Percentage. TCPA manual touch is a different control: type the number, no paste, Dial enables only on a match.</w:t>
      </w:r>
    </w:p>
    <w:p>
      <w:r>
        <w:t>Sources and go deeper</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body>
</w:document>
</file>