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Adding skills to a campaign points at another guide · Worked example</w:t>
      </w:r>
    </w:p>
    <w:p>
      <w:r>
        <w:t>One sentence that names the guide and stops.</w:t>
      </w:r>
    </w:p>
    <w:p>
      <w:r>
        <w:t>Configuring Skills</w:t>
      </w:r>
    </w:p>
    <w:p>
      <w:r>
        <w:t>Campaign Administrator's Guide</w:t>
      </w:r>
    </w:p>
    <w:p>
      <w:r>
        <w:t>No extra field</w:t>
      </w:r>
    </w:p>
    <w:p>
      <w:r>
        <w:t>The sentence does not invent a field.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Configuring Skills and the Skill Transfer module page did not return a body in this check. No priority value is stated. last checked 2026-10.</w:t>
      </w:r>
    </w:p>
  </w:body>
</w:document>
</file>