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routing review you can finish · Learn it in 5 minutes</w:t>
      </w:r>
    </w:p>
    <w:p>
      <w:r>
        <w:t>A routing note can be finished with the pages that opened. Say that a skill group is agent or supervisor users on a campaign queue. Say whether the user and the campaign have one group or several. Say which tab the campaign type uses. Say that service level and voicemail are topic titles.</w:t>
      </w:r>
    </w:p>
    <w:p>
      <w:r>
        <w:t>Then stop. Availability, caller ID, ANI, IVR, and DNIS are routing inputs on the Wikipedia page, not a Five9 field list. Competency-based routing is a sentence on the quality page, in the quality chapter, not a skill-group setting this page printed.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Automatic call distributor. wikipedia. https://en.wikipedia.org/wiki/Automatic_call_distributor.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