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Native WEM and a partner path both exist · Worked example</w:t>
      </w:r>
    </w:p>
    <w:p>
      <w:r>
        <w:t>The first WFM question on a new floor.</w:t>
      </w:r>
    </w:p>
    <w:p>
      <w:r>
        <w:t>Which suite</w:t>
      </w:r>
    </w:p>
    <w:p>
      <w:r>
        <w:t>Which cards you actually read</w:t>
      </w:r>
    </w:p>
    <w:p>
      <w:r>
        <w:t>Where the agent sees the schedule</w:t>
      </w:r>
    </w:p>
    <w:p>
      <w:r>
        <w:t>You did not assume Verint, and you did not borrow the other CRM list.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Workforce management. vendor. https://www.five9.com/platform/insights-and-analytics/workforce-management. last checked 2026-10.</w:t>
      </w:r>
    </w:p>
    <w:p>
      <w:r>
        <w:t>confirm. This lab does not know which WEM suite a given customer bought. The WFM CRM card read here names Oracle and ServiceNow, not the longer adapter list. last checked 2026-10.</w:t>
      </w:r>
    </w:p>
  </w:body>
</w:document>
</file>