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Agents can read evaluations without a second story · Worked example</w:t>
      </w:r>
    </w:p>
    <w:p>
      <w:r>
        <w:t>Plus or the CRM connector, and say the license is still to be read.</w:t>
      </w:r>
    </w:p>
    <w:p>
      <w:r>
        <w:t>One path</w:t>
      </w:r>
    </w:p>
    <w:p>
      <w:r>
        <w:t>License marked confirm</w:t>
      </w:r>
    </w:p>
    <w:p>
      <w:r>
        <w:t>You did not invent a consent rule.</w:t>
      </w:r>
    </w:p>
    <w:p>
      <w:r>
        <w:t>Sources and go deeper</w:t>
      </w:r>
    </w:p>
    <w:p>
      <w:r>
        <w:t>Agent Desktop. vendor. https://www.five9.com/platform/self-service-and-engagement/agent-desktop.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confirm. Notice and consent are not re-quoted in this chapter. The license page was not the source opened for these lessons. last checked 2026-10.</w:t>
      </w:r>
    </w:p>
  </w:body>
</w:document>
</file>