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Workforce tools can show up inside the CRM · Worked example</w:t>
      </w:r>
    </w:p>
    <w:p>
      <w:r>
        <w:t>Mark voice, WFO, and the WFM card as bought or unknown.</w:t>
      </w:r>
    </w:p>
    <w:p>
      <w:r>
        <w:t>Unknown is allowed</w:t>
      </w:r>
    </w:p>
    <w:p>
      <w:r>
        <w:t>Nothing was assumed.</w:t>
      </w:r>
    </w:p>
    <w:p>
      <w:r>
        <w:t>Sources and go deeper</w:t>
      </w:r>
    </w:p>
    <w:p>
      <w:r>
        <w:t>Agent Desktop. vendor. https://www.five9.com/platform/self-service-and-engagement/agent-desktop. last checked 2026-10.</w:t>
      </w:r>
    </w:p>
    <w:p>
      <w:r>
        <w:t>Workforce management. vendor. https://www.five9.com/platform/insights-and-analytics/workforce-management. last checked 2026-10.</w:t>
      </w:r>
    </w:p>
    <w:p>
      <w:r>
        <w:t>Workforce engagement management. vendor. https://www.five9.com/products/capabilities/workforce-optimization. last checked 2026-10.</w:t>
      </w:r>
    </w:p>
  </w:body>
</w:document>
</file>