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CRM note you can defend · Learn it in 5 minutes</w:t>
      </w:r>
    </w:p>
    <w:p>
      <w:r>
        <w:t>A defendable note names the surface, the list, and the gap. Surface: Plus, prebuilt, toolkit, or bookmark. List: the API CRM names, the UC names, or the WFO actions. Gap: anything from an admin guide that did not open, marked confirm, with no URL and no guessed field.</w:t>
      </w:r>
    </w:p>
    <w:p>
      <w:r>
        <w:t>The API page says integrations can often be done with minimal coding. Often and minimal are the page's words. They are not a project estimate. The desktop page's single screen is the agent experience it describes, not a count of browser tabs this lab measured.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Project size is not on the API page. Minimal coding is their phrase, not an estimate. last checked 2026-10.</w:t>
      </w:r>
    </w:p>
  </w:body>
</w:document>
</file>