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Config checklist</w:t>
      </w:r>
    </w:p>
    <w:p>
      <w:r>
        <w:t>Skills before users. Lists and dispositions before the campaign. One campaign profile at a time. Start an inbound campaign or the DNIS stays quiet. Confirm the live admin page before you change a domain.</w:t>
      </w:r>
    </w:p>
    <w:p>
      <w:r>
        <w:t>Sources and go deeper</w:t>
      </w:r>
    </w:p>
    <w:p>
      <w:r>
        <w:t>ITU-T E.164, international public telecommunication numbering. standard. https://www.itu.int/rec/T-REC-E.164. last checked 2026-10.</w:t>
      </w:r>
    </w:p>
  </w:body>
</w:document>
</file>